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>Управления Роскомнадзора по Белгородской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вакантных должностей старшей группы должностей категории «специалисты»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3396E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>Управление Федеральной службы по надзору в сфере связи, информационных технологий и массовых коммуникаций по Белгородской области (далее – Управления Роскомнадзора по Белгородской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Белгородской области для замещения </w:t>
      </w:r>
      <w:r w:rsidRPr="008D5D1E">
        <w:rPr>
          <w:b w:val="0"/>
          <w:bCs w:val="0"/>
          <w:szCs w:val="28"/>
        </w:rPr>
        <w:t xml:space="preserve">должностей старшей группы должностей категории «специалисты» государственной гражданской службы Российской Федерации: </w:t>
      </w:r>
    </w:p>
    <w:p w:rsidR="00D3396E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и надзора в сфере массовых коммуникаций и информационных технологий; 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>онтроля (надзора) в сфере связи</w:t>
      </w:r>
      <w:r w:rsidRPr="008D5D1E">
        <w:rPr>
          <w:b w:val="0"/>
          <w:szCs w:val="28"/>
        </w:rPr>
        <w:t>.</w:t>
      </w:r>
    </w:p>
    <w:p w:rsidR="004D039A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а) личное заявление на имя руководителя Управления Роскомнадзора по Белгородской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4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</w:p>
    <w:p w:rsidR="00AD4A49" w:rsidRPr="008D5D1E" w:rsidRDefault="00AD4A49" w:rsidP="00AD4A49">
      <w:pPr>
        <w:ind w:firstLine="720"/>
        <w:jc w:val="both"/>
        <w:outlineLvl w:val="1"/>
        <w:rPr>
          <w:sz w:val="28"/>
          <w:szCs w:val="28"/>
        </w:rPr>
      </w:pPr>
      <w:r w:rsidRPr="008D5D1E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D5D1E">
        <w:rPr>
          <w:sz w:val="28"/>
          <w:szCs w:val="28"/>
        </w:rPr>
        <w:t xml:space="preserve"> документа воинского учета (для военнообязанных и лиц, подлежащих призыву на военную службу);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 xml:space="preserve">копия свидетельства о заключении брака (о </w:t>
      </w:r>
      <w:r>
        <w:rPr>
          <w:sz w:val="28"/>
          <w:szCs w:val="28"/>
        </w:rPr>
        <w:t>расторжении брака</w:t>
      </w:r>
      <w:r w:rsidRPr="008D5D1E">
        <w:rPr>
          <w:sz w:val="28"/>
          <w:szCs w:val="28"/>
        </w:rPr>
        <w:t>) при наличии;</w:t>
      </w:r>
    </w:p>
    <w:p w:rsidR="00AD4A49" w:rsidRDefault="00AD4A49" w:rsidP="00AD4A4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D5D1E">
        <w:rPr>
          <w:sz w:val="28"/>
          <w:szCs w:val="28"/>
        </w:rPr>
        <w:t>копия свидетельства о рождении детей (до 1</w:t>
      </w:r>
      <w:r>
        <w:rPr>
          <w:sz w:val="28"/>
          <w:szCs w:val="28"/>
        </w:rPr>
        <w:t>8</w:t>
      </w:r>
      <w:r w:rsidRPr="008D5D1E">
        <w:rPr>
          <w:sz w:val="28"/>
          <w:szCs w:val="28"/>
        </w:rPr>
        <w:t xml:space="preserve"> лет) при наличии</w:t>
      </w:r>
      <w:r>
        <w:rPr>
          <w:sz w:val="28"/>
          <w:szCs w:val="28"/>
        </w:rPr>
        <w:t>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государственного пенсионного страхования;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о постановке на учет в налоговом органе по месту жительства; </w:t>
      </w:r>
    </w:p>
    <w:p w:rsidR="00F22712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страхового свидетельства </w:t>
      </w:r>
      <w:r>
        <w:rPr>
          <w:sz w:val="28"/>
          <w:szCs w:val="28"/>
        </w:rPr>
        <w:t xml:space="preserve">(полиса) </w:t>
      </w:r>
      <w:r w:rsidRPr="00EA468C">
        <w:rPr>
          <w:sz w:val="28"/>
          <w:szCs w:val="28"/>
        </w:rPr>
        <w:t>обязате</w:t>
      </w:r>
      <w:r>
        <w:rPr>
          <w:sz w:val="28"/>
          <w:szCs w:val="28"/>
        </w:rPr>
        <w:t>льного медицинского страхования</w:t>
      </w:r>
      <w:r w:rsidR="00F22712">
        <w:rPr>
          <w:sz w:val="28"/>
          <w:szCs w:val="28"/>
        </w:rPr>
        <w:t>;</w:t>
      </w:r>
    </w:p>
    <w:p w:rsidR="00AD4A49" w:rsidRPr="00EA468C" w:rsidRDefault="00F22712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о) справка об отсутствии судимости</w:t>
      </w:r>
      <w:r w:rsidR="00AD4A49">
        <w:rPr>
          <w:sz w:val="28"/>
          <w:szCs w:val="28"/>
        </w:rPr>
        <w:t>.</w:t>
      </w:r>
    </w:p>
    <w:p w:rsidR="00AD4A49" w:rsidRPr="008D5D1E" w:rsidRDefault="00AD4A49" w:rsidP="00AD4A49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Гражданский служащий Управления Роскомнадзора по Белгородской области,  изъявивший желание участвовать в конкурсе, подает заявление на имя Руководителя Управления Роскомнадзора Белгородской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Белгородской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Белгородской области в отдел организационной, правовой работы и кадров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Белгород, ул. Гагарина, д. 6 «а», </w:t>
      </w:r>
      <w:r w:rsidRPr="00656C02">
        <w:rPr>
          <w:sz w:val="28"/>
          <w:szCs w:val="28"/>
        </w:rPr>
        <w:t xml:space="preserve">(каб. №8) </w:t>
      </w:r>
      <w:r>
        <w:rPr>
          <w:sz w:val="28"/>
          <w:szCs w:val="28"/>
        </w:rPr>
        <w:t>в течение 21 дня со дня размещения объявления об их приеме на официальном сайте Управления Роскомнадзора по Белгородской области (</w:t>
      </w:r>
      <w:hyperlink r:id="rId5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F313EC">
        <w:rPr>
          <w:b/>
          <w:bCs/>
          <w:sz w:val="28"/>
          <w:szCs w:val="28"/>
          <w:highlight w:val="yellow"/>
        </w:rPr>
        <w:t>19 декабря</w:t>
      </w:r>
      <w:r w:rsidRPr="00D3396E">
        <w:rPr>
          <w:b/>
          <w:bCs/>
          <w:sz w:val="28"/>
          <w:szCs w:val="28"/>
          <w:highlight w:val="yellow"/>
        </w:rPr>
        <w:t xml:space="preserve"> 2018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16</w:t>
      </w:r>
      <w:r w:rsidR="00A40DA5">
        <w:rPr>
          <w:bCs/>
          <w:sz w:val="28"/>
          <w:szCs w:val="28"/>
        </w:rPr>
        <w:t xml:space="preserve"> (кадры)</w:t>
      </w:r>
      <w:r>
        <w:rPr>
          <w:bCs/>
          <w:sz w:val="28"/>
          <w:szCs w:val="28"/>
        </w:rPr>
        <w:t xml:space="preserve">, </w:t>
      </w:r>
      <w:r w:rsidRPr="008D5D1E">
        <w:rPr>
          <w:bCs/>
          <w:sz w:val="28"/>
          <w:szCs w:val="28"/>
        </w:rPr>
        <w:t xml:space="preserve">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 (приемная)</w:t>
      </w:r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6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7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8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9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 xml:space="preserve"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</w:t>
      </w:r>
      <w:r w:rsidRPr="0073656C">
        <w:rPr>
          <w:sz w:val="28"/>
          <w:szCs w:val="28"/>
          <w:shd w:val="clear" w:color="auto" w:fill="FFFFFF"/>
        </w:rPr>
        <w:lastRenderedPageBreak/>
        <w:t>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0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 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Pr="00A40DA5">
        <w:rPr>
          <w:b/>
          <w:bCs/>
          <w:sz w:val="28"/>
          <w:szCs w:val="28"/>
        </w:rPr>
        <w:t>1</w:t>
      </w:r>
      <w:r w:rsidR="00F313EC">
        <w:rPr>
          <w:b/>
          <w:bCs/>
          <w:sz w:val="28"/>
          <w:szCs w:val="28"/>
        </w:rPr>
        <w:t>8</w:t>
      </w:r>
      <w:r w:rsidRPr="00A40DA5">
        <w:rPr>
          <w:b/>
          <w:bCs/>
          <w:sz w:val="28"/>
          <w:szCs w:val="28"/>
        </w:rPr>
        <w:t xml:space="preserve"> </w:t>
      </w:r>
      <w:r w:rsidR="00F313EC">
        <w:rPr>
          <w:b/>
          <w:bCs/>
          <w:sz w:val="28"/>
          <w:szCs w:val="28"/>
        </w:rPr>
        <w:t>янва</w:t>
      </w:r>
      <w:r w:rsidR="00A40DA5" w:rsidRPr="00A40DA5">
        <w:rPr>
          <w:b/>
          <w:bCs/>
          <w:sz w:val="28"/>
          <w:szCs w:val="28"/>
        </w:rPr>
        <w:t>р</w:t>
      </w:r>
      <w:r w:rsidR="00DB3743" w:rsidRPr="00A40DA5">
        <w:rPr>
          <w:b/>
          <w:bCs/>
          <w:sz w:val="28"/>
          <w:szCs w:val="28"/>
        </w:rPr>
        <w:t>я</w:t>
      </w:r>
      <w:r w:rsidR="00F313EC">
        <w:rPr>
          <w:b/>
          <w:bCs/>
          <w:sz w:val="28"/>
          <w:szCs w:val="28"/>
        </w:rPr>
        <w:t xml:space="preserve"> 2019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>. № 763 «О денежном содержании федеральных государственных гражданских служащих» и состоит из: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 xml:space="preserve">(специалитет,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>агистратура, бакалавриат)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 xml:space="preserve">«Медиакоммуникации»,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данному(-ым)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1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2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4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 служебного распорядка и должностного регламента,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</w:t>
      </w:r>
      <w:r w:rsidRPr="00CC405D">
        <w:rPr>
          <w:sz w:val="28"/>
          <w:szCs w:val="28"/>
        </w:rPr>
        <w:lastRenderedPageBreak/>
        <w:t>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t xml:space="preserve">замещающего должность </w:t>
      </w:r>
      <w:r>
        <w:rPr>
          <w:bCs w:val="0"/>
          <w:szCs w:val="28"/>
        </w:rPr>
        <w:t>государственной гражданской службы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  <w:r>
        <w:rPr>
          <w:bCs w:val="0"/>
          <w:szCs w:val="28"/>
        </w:rPr>
        <w:t xml:space="preserve"> </w:t>
      </w:r>
      <w:r w:rsidRPr="00F313EC">
        <w:rPr>
          <w:bCs w:val="0"/>
          <w:szCs w:val="28"/>
          <w:u w:val="single"/>
        </w:rPr>
        <w:t xml:space="preserve">в </w:t>
      </w:r>
      <w:r w:rsidRPr="00F313EC">
        <w:rPr>
          <w:szCs w:val="28"/>
          <w:u w:val="single"/>
        </w:rPr>
        <w:t>отделе контроля (надзора) в сфере связи</w:t>
      </w:r>
      <w:r>
        <w:rPr>
          <w:szCs w:val="28"/>
          <w:u w:val="single"/>
        </w:rPr>
        <w:t>: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F313EC" w:rsidRDefault="00236867" w:rsidP="00236867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="00F313EC" w:rsidRPr="00236867">
        <w:rPr>
          <w:szCs w:val="28"/>
        </w:rPr>
        <w:t>Должностные обязанности: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 за соблюдением операторами связи требований к пропуску трафика и его маршрутизации;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1.3 за соблюдением порядка распределения ресурса нумерации единой сети электросвязи Российской Федерации;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1.4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1.5 за выполнением правил присоединения сетей электросвязи к сети связи общего пользования, в том числе условий присоединения;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 за соблюдением держателями сертификатов соответствия и декларантами обязательств по обеспечению соответствия поставляемых средств связи установленным требованиям в период действия сертификатов соответствия и деклараций о соответствии;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1.7 за соблюдением операторами связи правил оказания услуг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1.8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1.9 за выполнением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 xml:space="preserve"> операторами связи требований к управлению сетями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rFonts w:hint="eastAsia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1.10 за выполнением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1.11 за выполнением операторами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связи требований по внедрению системы оперативно-розыскных мероприятий;</w:t>
      </w:r>
    </w:p>
    <w:p w:rsidR="00697122" w:rsidRDefault="00697122" w:rsidP="00697122">
      <w:pPr>
        <w:shd w:val="clear" w:color="auto" w:fill="FFFFFF"/>
        <w:ind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1.12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1.13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1.14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автоматизированным системам расчетов;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1.15</w:t>
      </w:r>
      <w:r>
        <w:rPr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1.16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1.17 за соблюдением порядка учета передаваемых и принимаемых почтовых отправлений и денежных средств между организациями почтовой связи;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1.18 за соблюдением порядка использования франкировальных машин;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1.19 за соблюдением установленных лицензионных условий и требований (далее - лицензионные условия) владельцами лицензий в области связи; 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Выявление: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обязательных требований в сфере связи и собирает подтверждающие эти нарушения доказательства;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лицензионных условий;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радиоэлектронные средства, высокочастотные устройства гражданского назначения;</w:t>
      </w:r>
    </w:p>
    <w:p w:rsidR="00697122" w:rsidRDefault="00697122" w:rsidP="00697122">
      <w:pPr>
        <w:shd w:val="clear" w:color="auto" w:fill="FFFFFF"/>
        <w:tabs>
          <w:tab w:val="left" w:pos="1421"/>
        </w:tabs>
        <w:spacing w:before="5"/>
        <w:ind w:right="43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франкировальные машины;</w:t>
      </w:r>
    </w:p>
    <w:p w:rsidR="00697122" w:rsidRDefault="00697122" w:rsidP="00697122">
      <w:pPr>
        <w:shd w:val="clear" w:color="auto" w:fill="FFFFFF"/>
        <w:tabs>
          <w:tab w:val="left" w:pos="1349"/>
        </w:tabs>
        <w:ind w:left="10" w:right="48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юридических и физических лиц, осуществляющих деятельность по возмездному оказанию услуг связи без соответствующих лицензий;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Организация: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радиоэлектронных средств и высокочастотных устройств гражданского назначения;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сетей (сооружений) электросвязи.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4. Подготовка проекта решения об  эксплуатации линий связи при пересечении государственной границы Российской Федерации, на приграничной территории Российской Федерации.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 Осуществление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 w:rsidRPr="00822CF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Обеспечение в пределах своей компетенции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697122" w:rsidRPr="00236867" w:rsidRDefault="00697122" w:rsidP="00236867">
      <w:pPr>
        <w:pStyle w:val="2"/>
        <w:spacing w:after="0" w:line="240" w:lineRule="auto"/>
        <w:rPr>
          <w:szCs w:val="28"/>
        </w:rPr>
      </w:pPr>
    </w:p>
    <w:p w:rsidR="00236867" w:rsidRDefault="00236867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5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79-ФЗ«О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F313EC" w:rsidRPr="00236867" w:rsidRDefault="00236867" w:rsidP="00236867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697122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r w:rsidRPr="00697122">
        <w:rPr>
          <w:bCs w:val="0"/>
          <w:szCs w:val="28"/>
        </w:rPr>
        <w:t xml:space="preserve">замещающего должность государственной гражданской службы </w:t>
      </w:r>
    </w:p>
    <w:p w:rsidR="00697122" w:rsidRDefault="00697122" w:rsidP="00697122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по защите прав субъектов персональных данных </w:t>
      </w:r>
    </w:p>
    <w:p w:rsidR="00697122" w:rsidRDefault="00697122" w:rsidP="00697122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  <w:r w:rsidRPr="00697122">
        <w:rPr>
          <w:b/>
          <w:szCs w:val="28"/>
          <w:u w:val="single"/>
        </w:rPr>
        <w:t>и надзора в сфере массовых коммуникаций и информационных технологий</w:t>
      </w:r>
      <w:r>
        <w:rPr>
          <w:szCs w:val="28"/>
          <w:u w:val="single"/>
        </w:rPr>
        <w:t>:</w:t>
      </w:r>
    </w:p>
    <w:p w:rsidR="00697122" w:rsidRDefault="00697122" w:rsidP="00697122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 и информационных технологий: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 xml:space="preserve">, к производству и выпуску средств массовой информации, </w:t>
      </w:r>
      <w:r>
        <w:rPr>
          <w:sz w:val="28"/>
          <w:szCs w:val="28"/>
        </w:rPr>
        <w:lastRenderedPageBreak/>
        <w:t>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14. обеспечение информационной безопасности и нераспространение информации ограниченного доступа;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15.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о фонограмм на любых видах носителей, лицензионных требований и условий, в том числе при проведении мероприятий по долицензионному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lastRenderedPageBreak/>
        <w:t>17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>организация судебной работы в установленной сфере в целях обеспечения нужд Управления Роскомнадзора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697122" w:rsidRDefault="00204E7D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В сфере </w:t>
      </w:r>
      <w:r w:rsidRPr="00204E7D">
        <w:rPr>
          <w:szCs w:val="28"/>
        </w:rPr>
        <w:t>защиты прав субъектов персональных данных: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в ЕИС Роскомнадзора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204E7D" w:rsidRDefault="00204E7D" w:rsidP="00204E7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79-ФЗ«О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lastRenderedPageBreak/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697122" w:rsidRDefault="00697122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AD4A49">
      <w:pPr>
        <w:jc w:val="center"/>
        <w:rPr>
          <w:b/>
          <w:bCs/>
          <w:sz w:val="28"/>
          <w:szCs w:val="28"/>
        </w:rPr>
      </w:pP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организационной, правовой работы и кадров Управления Федеральной службы по надзору в сфере связи,  информационных технологий и массовых коммуникаций по Белгородской области (г. Белгород, ул. Гагарина, д. 6 «а») и на официальном сайте Управления Роскомнадзора Белгородской области в сети Интернет по адресу </w:t>
      </w:r>
      <w:hyperlink r:id="rId17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 w:rsidRPr="008D5D1E">
        <w:rPr>
          <w:bCs/>
          <w:sz w:val="28"/>
          <w:szCs w:val="28"/>
        </w:rPr>
        <w:t>.</w:t>
      </w: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E65311" w:rsidRDefault="00E65311" w:rsidP="00AD4A49">
      <w:pPr>
        <w:jc w:val="center"/>
        <w:rPr>
          <w:b/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lastRenderedPageBreak/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D4A49"/>
    <w:rsid w:val="000F2DFB"/>
    <w:rsid w:val="00166B92"/>
    <w:rsid w:val="00204E7D"/>
    <w:rsid w:val="00236867"/>
    <w:rsid w:val="00420F8A"/>
    <w:rsid w:val="004D039A"/>
    <w:rsid w:val="00550577"/>
    <w:rsid w:val="005A7ED5"/>
    <w:rsid w:val="00641254"/>
    <w:rsid w:val="00697122"/>
    <w:rsid w:val="006F51F0"/>
    <w:rsid w:val="0073656C"/>
    <w:rsid w:val="007F338B"/>
    <w:rsid w:val="00A32F36"/>
    <w:rsid w:val="00A40DA5"/>
    <w:rsid w:val="00AD4A49"/>
    <w:rsid w:val="00D3396E"/>
    <w:rsid w:val="00D56A06"/>
    <w:rsid w:val="00DB3743"/>
    <w:rsid w:val="00DF2B8D"/>
    <w:rsid w:val="00E0149F"/>
    <w:rsid w:val="00E65311"/>
    <w:rsid w:val="00EE5D97"/>
    <w:rsid w:val="00F22712"/>
    <w:rsid w:val="00F3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90293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108752;fld=134" TargetMode="External"/><Relationship Id="rId17" Type="http://schemas.openxmlformats.org/officeDocument/2006/relationships/hyperlink" Target="https://31.rkn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https://31.rkn.gov.ru/" TargetMode="External"/><Relationship Id="rId15" Type="http://schemas.openxmlformats.org/officeDocument/2006/relationships/hyperlink" Target="consultantplus://offline/ref=2F3B4A1877AAE8A45CB6D16B6EBEA76A89EB2CE732201B7A0D0DD2D8C2q9x1G" TargetMode="External"/><Relationship Id="rId10" Type="http://schemas.openxmlformats.org/officeDocument/2006/relationships/hyperlink" Target="https://gossluzhba.gov.ru/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96619;fld=134;dst=100279" TargetMode="Externa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Плотникова Ирина Николаевна</cp:lastModifiedBy>
  <cp:revision>12</cp:revision>
  <dcterms:created xsi:type="dcterms:W3CDTF">2018-09-27T12:18:00Z</dcterms:created>
  <dcterms:modified xsi:type="dcterms:W3CDTF">2018-11-27T12:25:00Z</dcterms:modified>
</cp:coreProperties>
</file>